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64EA3" w14:textId="77777777" w:rsidR="0013276D" w:rsidRDefault="0013276D" w:rsidP="0013276D">
      <w:pPr>
        <w:pStyle w:val="Default"/>
        <w:jc w:val="both"/>
        <w:rPr>
          <w:b/>
          <w:bCs/>
        </w:rPr>
      </w:pPr>
      <w:r w:rsidRPr="00725C27">
        <w:rPr>
          <w:b/>
          <w:bCs/>
        </w:rPr>
        <w:t>Lisa 2. Pakkumuste hindamise kriteeriumid ja metoodika</w:t>
      </w:r>
      <w:r w:rsidRPr="005A73C1">
        <w:rPr>
          <w:b/>
          <w:bCs/>
        </w:rPr>
        <w:t xml:space="preserve"> </w:t>
      </w:r>
    </w:p>
    <w:p w14:paraId="3C864EA4" w14:textId="77777777" w:rsidR="0013276D" w:rsidRDefault="0013276D" w:rsidP="0013276D">
      <w:pPr>
        <w:rPr>
          <w:b/>
          <w:bCs/>
        </w:rPr>
      </w:pPr>
    </w:p>
    <w:p w14:paraId="3C864EA5" w14:textId="77777777" w:rsidR="0013276D" w:rsidRPr="00AB4EC5" w:rsidRDefault="0013276D" w:rsidP="0013276D">
      <w:pPr>
        <w:rPr>
          <w:rFonts w:eastAsia="Calibri"/>
          <w:b/>
          <w:bCs/>
        </w:rPr>
      </w:pPr>
      <w:r w:rsidRPr="00AB4EC5">
        <w:rPr>
          <w:rFonts w:eastAsia="Calibri"/>
          <w:b/>
          <w:bCs/>
        </w:rPr>
        <w:t>Pakkumuste hindamise kriteeriumid ja metoodika</w:t>
      </w:r>
    </w:p>
    <w:p w14:paraId="3C864EA6" w14:textId="77777777" w:rsidR="0013276D" w:rsidRPr="00AB4EC5" w:rsidRDefault="0013276D" w:rsidP="0013276D">
      <w:pPr>
        <w:numPr>
          <w:ilvl w:val="0"/>
          <w:numId w:val="2"/>
        </w:numPr>
        <w:spacing w:after="160" w:line="259" w:lineRule="auto"/>
        <w:contextualSpacing/>
        <w:jc w:val="both"/>
        <w:rPr>
          <w:rFonts w:eastAsia="Calibri"/>
          <w:bCs/>
        </w:rPr>
      </w:pPr>
      <w:r w:rsidRPr="00AB4EC5">
        <w:rPr>
          <w:rFonts w:eastAsia="Calibri"/>
          <w:bCs/>
        </w:rPr>
        <w:t>Hankija võrdleb ja hindab kõiki vastavaks tunnistatud pakkumusi hindamiskriteeriumite alusel. Edukaks tunnistatakse pakkumus, mis on saanud väärtuspunktide omistamise meetodil käesolevas dokumendis toodud hindamiskriteeriumite ja -metoodika alusel kõige enam väärtuspunkte. Maksimaalselt võib pakkumus saada 100 väärtuspunkti.</w:t>
      </w:r>
    </w:p>
    <w:p w14:paraId="3C864EA7" w14:textId="77777777" w:rsidR="0013276D" w:rsidRPr="00AB4EC5" w:rsidRDefault="0013276D" w:rsidP="0013276D">
      <w:pPr>
        <w:numPr>
          <w:ilvl w:val="0"/>
          <w:numId w:val="2"/>
        </w:numPr>
        <w:spacing w:after="160" w:line="259" w:lineRule="auto"/>
        <w:contextualSpacing/>
        <w:jc w:val="both"/>
        <w:rPr>
          <w:rFonts w:eastAsia="Calibri"/>
          <w:bCs/>
        </w:rPr>
      </w:pPr>
      <w:r w:rsidRPr="00AB4EC5">
        <w:rPr>
          <w:rFonts w:eastAsia="Calibri"/>
          <w:bCs/>
        </w:rPr>
        <w:t>Pakkumuse hindamiskriteeriumid koosnevad maksumuse osakaalust (20%) ja tehnilise lahenduse osakaalust (80%). Maksumuse ja tehnilise lahenduse hindamise alused on erinevad.</w:t>
      </w:r>
    </w:p>
    <w:p w14:paraId="3C864EA8" w14:textId="77777777" w:rsidR="0013276D" w:rsidRPr="00AB4EC5" w:rsidRDefault="0013276D" w:rsidP="0013276D">
      <w:pPr>
        <w:numPr>
          <w:ilvl w:val="0"/>
          <w:numId w:val="2"/>
        </w:numPr>
        <w:spacing w:after="160" w:line="259" w:lineRule="auto"/>
        <w:contextualSpacing/>
        <w:jc w:val="both"/>
        <w:rPr>
          <w:rFonts w:eastAsia="Calibri"/>
          <w:bCs/>
        </w:rPr>
      </w:pPr>
      <w:r w:rsidRPr="00AB4EC5">
        <w:rPr>
          <w:rFonts w:eastAsia="Calibri"/>
          <w:bCs/>
        </w:rPr>
        <w:t>Pakkumuste maksumust hinnatakse järgnevalt:</w:t>
      </w:r>
    </w:p>
    <w:p w14:paraId="3C864EA9" w14:textId="77777777" w:rsidR="0013276D" w:rsidRPr="00AB4EC5" w:rsidRDefault="0013276D" w:rsidP="0013276D">
      <w:pPr>
        <w:ind w:left="720"/>
        <w:contextualSpacing/>
        <w:jc w:val="both"/>
        <w:rPr>
          <w:rFonts w:eastAsia="Calibri"/>
          <w:bCs/>
        </w:rPr>
      </w:pPr>
      <w:r w:rsidRPr="00AB4EC5">
        <w:rPr>
          <w:rFonts w:eastAsia="Calibri"/>
          <w:bCs/>
        </w:rPr>
        <w:t xml:space="preserve">soodsaim pakkumus saab 20 punkti, iga hinnalt järgmise pakkumuse punktid arvutatakse vastavalt: </w:t>
      </w:r>
      <w:r w:rsidRPr="00AB4EC5">
        <w:rPr>
          <w:rFonts w:eastAsia="Calibri"/>
          <w:bCs/>
          <w:u w:val="single"/>
        </w:rPr>
        <w:t>(soodsaim hind/pakkumuse hind) x 20 ümardatuna täisarvuni</w:t>
      </w:r>
      <w:r w:rsidRPr="00AB4EC5">
        <w:rPr>
          <w:rFonts w:eastAsia="Calibri"/>
          <w:bCs/>
        </w:rPr>
        <w:t xml:space="preserve">. </w:t>
      </w:r>
    </w:p>
    <w:p w14:paraId="3C864EAA" w14:textId="77777777" w:rsidR="0013276D" w:rsidRPr="00AB4EC5" w:rsidRDefault="0013276D" w:rsidP="0013276D">
      <w:pPr>
        <w:numPr>
          <w:ilvl w:val="0"/>
          <w:numId w:val="2"/>
        </w:numPr>
        <w:spacing w:after="160" w:line="259" w:lineRule="auto"/>
        <w:contextualSpacing/>
        <w:jc w:val="both"/>
        <w:rPr>
          <w:rFonts w:eastAsia="Calibri"/>
          <w:bCs/>
        </w:rPr>
      </w:pPr>
      <w:r w:rsidRPr="00AB4EC5">
        <w:rPr>
          <w:rFonts w:eastAsia="Calibri"/>
          <w:bCs/>
        </w:rPr>
        <w:t xml:space="preserve">Pakkumuse tehnilise lahenduse eest on võimalik saada 80 punkti. Pakkumuste tehnilist lahendust hindab hankija poolt kolm hindajat. Iga pakkumuse </w:t>
      </w:r>
      <w:r w:rsidRPr="00AB4EC5">
        <w:rPr>
          <w:rFonts w:eastAsia="Calibri"/>
          <w:bCs/>
          <w:u w:val="single"/>
        </w:rPr>
        <w:t>tehnilise lahenduse summaks on kolme hindaja hindamistulemuste aritmeetiline keskmine ümardatuna täisarvuni</w:t>
      </w:r>
      <w:r w:rsidRPr="00AB4EC5">
        <w:rPr>
          <w:rFonts w:eastAsia="Calibri"/>
          <w:bCs/>
        </w:rPr>
        <w:t xml:space="preserve">. </w:t>
      </w:r>
    </w:p>
    <w:p w14:paraId="3C864EAB" w14:textId="77777777" w:rsidR="0013276D" w:rsidRPr="00AB4EC5" w:rsidRDefault="0013276D" w:rsidP="0013276D">
      <w:pPr>
        <w:numPr>
          <w:ilvl w:val="0"/>
          <w:numId w:val="2"/>
        </w:numPr>
        <w:spacing w:after="160" w:line="259" w:lineRule="auto"/>
        <w:contextualSpacing/>
        <w:jc w:val="both"/>
        <w:rPr>
          <w:rFonts w:eastAsia="Calibri"/>
          <w:bCs/>
        </w:rPr>
      </w:pPr>
      <w:r w:rsidRPr="00AB4EC5">
        <w:rPr>
          <w:rFonts w:eastAsia="Calibri"/>
          <w:bCs/>
        </w:rPr>
        <w:t>Hindamistulemuste lõpptulemuste kokkuvõte koondatakse ühtsesse hindamisprotokolli.</w:t>
      </w:r>
    </w:p>
    <w:p w14:paraId="3C864EAC" w14:textId="77777777" w:rsidR="0013276D" w:rsidRPr="00AB4EC5" w:rsidRDefault="0013276D" w:rsidP="0013276D">
      <w:pPr>
        <w:numPr>
          <w:ilvl w:val="0"/>
          <w:numId w:val="2"/>
        </w:numPr>
        <w:spacing w:after="160" w:line="259" w:lineRule="auto"/>
        <w:contextualSpacing/>
        <w:jc w:val="both"/>
        <w:rPr>
          <w:rFonts w:eastAsia="Calibri"/>
          <w:bCs/>
        </w:rPr>
      </w:pPr>
      <w:r w:rsidRPr="00AB4EC5">
        <w:rPr>
          <w:rFonts w:eastAsia="Calibri"/>
          <w:bCs/>
        </w:rPr>
        <w:t>Tehniline lahendus koosneb neljast hinnatavast kriteeriumist:</w:t>
      </w:r>
    </w:p>
    <w:tbl>
      <w:tblPr>
        <w:tblStyle w:val="TableGrid"/>
        <w:tblW w:w="7530" w:type="dxa"/>
        <w:tblInd w:w="1112" w:type="dxa"/>
        <w:tblLook w:val="04A0" w:firstRow="1" w:lastRow="0" w:firstColumn="1" w:lastColumn="0" w:noHBand="0" w:noVBand="1"/>
      </w:tblPr>
      <w:tblGrid>
        <w:gridCol w:w="4510"/>
        <w:gridCol w:w="3020"/>
      </w:tblGrid>
      <w:tr w:rsidR="0013276D" w:rsidRPr="00AB4EC5" w14:paraId="3C864EAF" w14:textId="77777777" w:rsidTr="00D95510">
        <w:tc>
          <w:tcPr>
            <w:tcW w:w="4510" w:type="dxa"/>
            <w:tcBorders>
              <w:top w:val="single" w:sz="4" w:space="0" w:color="auto"/>
              <w:left w:val="single" w:sz="4" w:space="0" w:color="auto"/>
              <w:bottom w:val="single" w:sz="4" w:space="0" w:color="auto"/>
              <w:right w:val="single" w:sz="4" w:space="0" w:color="auto"/>
            </w:tcBorders>
            <w:hideMark/>
          </w:tcPr>
          <w:p w14:paraId="3C864EAD" w14:textId="77777777" w:rsidR="0013276D" w:rsidRPr="00AB4EC5" w:rsidRDefault="0013276D" w:rsidP="00D95510">
            <w:pPr>
              <w:jc w:val="both"/>
              <w:rPr>
                <w:rFonts w:eastAsia="Georgia"/>
                <w:b/>
              </w:rPr>
            </w:pPr>
            <w:r w:rsidRPr="00AB4EC5">
              <w:rPr>
                <w:rFonts w:eastAsia="Georgia"/>
                <w:b/>
              </w:rPr>
              <w:t>Kriteerium</w:t>
            </w:r>
          </w:p>
        </w:tc>
        <w:tc>
          <w:tcPr>
            <w:tcW w:w="3020" w:type="dxa"/>
            <w:tcBorders>
              <w:top w:val="single" w:sz="4" w:space="0" w:color="auto"/>
              <w:left w:val="single" w:sz="4" w:space="0" w:color="auto"/>
              <w:bottom w:val="single" w:sz="4" w:space="0" w:color="auto"/>
              <w:right w:val="single" w:sz="4" w:space="0" w:color="auto"/>
            </w:tcBorders>
            <w:hideMark/>
          </w:tcPr>
          <w:p w14:paraId="3C864EAE" w14:textId="77777777" w:rsidR="0013276D" w:rsidRPr="00AB4EC5" w:rsidRDefault="0013276D" w:rsidP="00D95510">
            <w:pPr>
              <w:jc w:val="both"/>
              <w:rPr>
                <w:rFonts w:eastAsia="Georgia"/>
                <w:b/>
              </w:rPr>
            </w:pPr>
            <w:r w:rsidRPr="00AB4EC5">
              <w:rPr>
                <w:rFonts w:eastAsia="Georgia"/>
                <w:b/>
              </w:rPr>
              <w:t>Maksimaalsed väärtuspunktid</w:t>
            </w:r>
          </w:p>
        </w:tc>
      </w:tr>
      <w:tr w:rsidR="0013276D" w:rsidRPr="00AB4EC5" w14:paraId="3C864EB2" w14:textId="77777777" w:rsidTr="00D95510">
        <w:tc>
          <w:tcPr>
            <w:tcW w:w="4510" w:type="dxa"/>
            <w:tcBorders>
              <w:top w:val="single" w:sz="4" w:space="0" w:color="auto"/>
              <w:left w:val="single" w:sz="4" w:space="0" w:color="auto"/>
              <w:bottom w:val="single" w:sz="4" w:space="0" w:color="auto"/>
              <w:right w:val="single" w:sz="4" w:space="0" w:color="auto"/>
            </w:tcBorders>
            <w:hideMark/>
          </w:tcPr>
          <w:p w14:paraId="3C864EB0" w14:textId="77777777" w:rsidR="0013276D" w:rsidRPr="00AB4EC5" w:rsidRDefault="0013276D" w:rsidP="00D95510">
            <w:pPr>
              <w:jc w:val="both"/>
              <w:rPr>
                <w:rFonts w:eastAsia="Georgia"/>
              </w:rPr>
            </w:pPr>
            <w:r w:rsidRPr="00AB4EC5">
              <w:rPr>
                <w:rFonts w:eastAsia="Georgia"/>
              </w:rPr>
              <w:t>P</w:t>
            </w:r>
            <w:r w:rsidRPr="00AB4EC5">
              <w:rPr>
                <w:rFonts w:eastAsia="Calibri"/>
                <w:bCs/>
              </w:rPr>
              <w:t>akkuja arusaam uuringu eesmärgist ja uurimisülesannetest</w:t>
            </w:r>
          </w:p>
        </w:tc>
        <w:tc>
          <w:tcPr>
            <w:tcW w:w="3020" w:type="dxa"/>
            <w:tcBorders>
              <w:top w:val="single" w:sz="4" w:space="0" w:color="auto"/>
              <w:left w:val="single" w:sz="4" w:space="0" w:color="auto"/>
              <w:bottom w:val="single" w:sz="4" w:space="0" w:color="auto"/>
              <w:right w:val="single" w:sz="4" w:space="0" w:color="auto"/>
            </w:tcBorders>
            <w:hideMark/>
          </w:tcPr>
          <w:p w14:paraId="3C864EB1" w14:textId="77777777" w:rsidR="0013276D" w:rsidRPr="00AB4EC5" w:rsidRDefault="0013276D" w:rsidP="00D95510">
            <w:pPr>
              <w:jc w:val="both"/>
              <w:rPr>
                <w:rFonts w:eastAsia="Georgia"/>
              </w:rPr>
            </w:pPr>
            <w:r w:rsidRPr="00AB4EC5">
              <w:rPr>
                <w:rFonts w:eastAsia="Georgia"/>
              </w:rPr>
              <w:t>20</w:t>
            </w:r>
          </w:p>
        </w:tc>
      </w:tr>
      <w:tr w:rsidR="0013276D" w:rsidRPr="00AB4EC5" w14:paraId="3C864EB5" w14:textId="77777777" w:rsidTr="00D95510">
        <w:tc>
          <w:tcPr>
            <w:tcW w:w="4510" w:type="dxa"/>
            <w:tcBorders>
              <w:top w:val="single" w:sz="4" w:space="0" w:color="auto"/>
              <w:left w:val="single" w:sz="4" w:space="0" w:color="auto"/>
              <w:bottom w:val="single" w:sz="4" w:space="0" w:color="auto"/>
              <w:right w:val="single" w:sz="4" w:space="0" w:color="auto"/>
            </w:tcBorders>
            <w:hideMark/>
          </w:tcPr>
          <w:p w14:paraId="3C864EB3" w14:textId="77777777" w:rsidR="0013276D" w:rsidRPr="00AB4EC5" w:rsidRDefault="0013276D" w:rsidP="00D95510">
            <w:pPr>
              <w:jc w:val="both"/>
              <w:rPr>
                <w:rFonts w:eastAsia="Georgia"/>
              </w:rPr>
            </w:pPr>
            <w:r w:rsidRPr="00AB4EC5">
              <w:rPr>
                <w:rFonts w:eastAsia="Calibri"/>
                <w:bCs/>
              </w:rPr>
              <w:t>Uuringu metoodika ja tegevusplaani kirjeldus</w:t>
            </w:r>
          </w:p>
        </w:tc>
        <w:tc>
          <w:tcPr>
            <w:tcW w:w="3020" w:type="dxa"/>
            <w:tcBorders>
              <w:top w:val="single" w:sz="4" w:space="0" w:color="auto"/>
              <w:left w:val="single" w:sz="4" w:space="0" w:color="auto"/>
              <w:bottom w:val="single" w:sz="4" w:space="0" w:color="auto"/>
              <w:right w:val="single" w:sz="4" w:space="0" w:color="auto"/>
            </w:tcBorders>
            <w:hideMark/>
          </w:tcPr>
          <w:p w14:paraId="3C864EB4" w14:textId="77777777" w:rsidR="0013276D" w:rsidRPr="00AB4EC5" w:rsidRDefault="0013276D" w:rsidP="00D95510">
            <w:pPr>
              <w:jc w:val="both"/>
              <w:rPr>
                <w:rFonts w:eastAsia="Georgia"/>
              </w:rPr>
            </w:pPr>
            <w:r w:rsidRPr="00AB4EC5">
              <w:rPr>
                <w:rFonts w:eastAsia="Georgia"/>
              </w:rPr>
              <w:t>30</w:t>
            </w:r>
          </w:p>
        </w:tc>
      </w:tr>
      <w:tr w:rsidR="0013276D" w:rsidRPr="00AB4EC5" w14:paraId="3C864EB8" w14:textId="77777777" w:rsidTr="00D95510">
        <w:tc>
          <w:tcPr>
            <w:tcW w:w="4510" w:type="dxa"/>
            <w:tcBorders>
              <w:top w:val="single" w:sz="4" w:space="0" w:color="auto"/>
              <w:left w:val="single" w:sz="4" w:space="0" w:color="auto"/>
              <w:bottom w:val="single" w:sz="4" w:space="0" w:color="auto"/>
              <w:right w:val="single" w:sz="4" w:space="0" w:color="auto"/>
            </w:tcBorders>
            <w:hideMark/>
          </w:tcPr>
          <w:p w14:paraId="3C864EB6" w14:textId="77777777" w:rsidR="0013276D" w:rsidRPr="00AB4EC5" w:rsidRDefault="0013276D" w:rsidP="00D95510">
            <w:pPr>
              <w:jc w:val="both"/>
              <w:rPr>
                <w:rFonts w:eastAsia="Georgia"/>
              </w:rPr>
            </w:pPr>
            <w:r w:rsidRPr="00AB4EC5">
              <w:rPr>
                <w:rFonts w:eastAsia="Calibri"/>
                <w:bCs/>
              </w:rPr>
              <w:t>Uuringu ajakava ja poolte koostöö kirjeldus</w:t>
            </w:r>
          </w:p>
        </w:tc>
        <w:tc>
          <w:tcPr>
            <w:tcW w:w="3020" w:type="dxa"/>
            <w:tcBorders>
              <w:top w:val="single" w:sz="4" w:space="0" w:color="auto"/>
              <w:left w:val="single" w:sz="4" w:space="0" w:color="auto"/>
              <w:bottom w:val="single" w:sz="4" w:space="0" w:color="auto"/>
              <w:right w:val="single" w:sz="4" w:space="0" w:color="auto"/>
            </w:tcBorders>
            <w:hideMark/>
          </w:tcPr>
          <w:p w14:paraId="3C864EB7" w14:textId="77777777" w:rsidR="0013276D" w:rsidRPr="00AB4EC5" w:rsidRDefault="0013276D" w:rsidP="00D95510">
            <w:pPr>
              <w:jc w:val="both"/>
              <w:rPr>
                <w:rFonts w:eastAsia="Georgia"/>
              </w:rPr>
            </w:pPr>
            <w:r w:rsidRPr="00AB4EC5">
              <w:rPr>
                <w:rFonts w:eastAsia="Georgia"/>
              </w:rPr>
              <w:t>15</w:t>
            </w:r>
          </w:p>
        </w:tc>
      </w:tr>
      <w:tr w:rsidR="0013276D" w:rsidRPr="00AB4EC5" w14:paraId="3C864EBB" w14:textId="77777777" w:rsidTr="00D95510">
        <w:trPr>
          <w:trHeight w:val="56"/>
        </w:trPr>
        <w:tc>
          <w:tcPr>
            <w:tcW w:w="4510" w:type="dxa"/>
            <w:tcBorders>
              <w:top w:val="single" w:sz="4" w:space="0" w:color="auto"/>
              <w:left w:val="single" w:sz="4" w:space="0" w:color="auto"/>
              <w:bottom w:val="single" w:sz="4" w:space="0" w:color="auto"/>
              <w:right w:val="single" w:sz="4" w:space="0" w:color="auto"/>
            </w:tcBorders>
            <w:hideMark/>
          </w:tcPr>
          <w:p w14:paraId="3C864EB9" w14:textId="77777777" w:rsidR="0013276D" w:rsidRPr="00AB4EC5" w:rsidRDefault="0013276D" w:rsidP="00D95510">
            <w:pPr>
              <w:jc w:val="both"/>
              <w:rPr>
                <w:rFonts w:eastAsia="Georgia"/>
              </w:rPr>
            </w:pPr>
            <w:r w:rsidRPr="00AB4EC5">
              <w:rPr>
                <w:rFonts w:eastAsia="Georgia"/>
              </w:rPr>
              <w:t>Uuringumeeskonna kirjeldus ja rollijaotus</w:t>
            </w:r>
          </w:p>
        </w:tc>
        <w:tc>
          <w:tcPr>
            <w:tcW w:w="3020" w:type="dxa"/>
            <w:tcBorders>
              <w:top w:val="single" w:sz="4" w:space="0" w:color="auto"/>
              <w:left w:val="single" w:sz="4" w:space="0" w:color="auto"/>
              <w:bottom w:val="single" w:sz="4" w:space="0" w:color="auto"/>
              <w:right w:val="single" w:sz="4" w:space="0" w:color="auto"/>
            </w:tcBorders>
            <w:hideMark/>
          </w:tcPr>
          <w:p w14:paraId="3C864EBA" w14:textId="77777777" w:rsidR="0013276D" w:rsidRPr="00AB4EC5" w:rsidRDefault="0013276D" w:rsidP="00D95510">
            <w:pPr>
              <w:jc w:val="both"/>
              <w:rPr>
                <w:rFonts w:eastAsia="Georgia"/>
              </w:rPr>
            </w:pPr>
            <w:r w:rsidRPr="00AB4EC5">
              <w:rPr>
                <w:rFonts w:eastAsia="Georgia"/>
              </w:rPr>
              <w:t>15</w:t>
            </w:r>
          </w:p>
        </w:tc>
      </w:tr>
    </w:tbl>
    <w:p w14:paraId="3C864EBC" w14:textId="4B2C294F" w:rsidR="0013276D" w:rsidRPr="00AB4EC5" w:rsidRDefault="0013276D" w:rsidP="0013276D">
      <w:pPr>
        <w:numPr>
          <w:ilvl w:val="0"/>
          <w:numId w:val="2"/>
        </w:numPr>
        <w:spacing w:after="160" w:line="259" w:lineRule="auto"/>
        <w:contextualSpacing/>
        <w:jc w:val="both"/>
        <w:rPr>
          <w:rFonts w:eastAsia="Calibri"/>
          <w:bCs/>
        </w:rPr>
      </w:pPr>
      <w:r w:rsidRPr="00AB4EC5">
        <w:rPr>
          <w:rFonts w:eastAsia="Calibri"/>
          <w:bCs/>
        </w:rPr>
        <w:t xml:space="preserve">Hankijal on õigus kõik vastavaks tunnistatud pakkumused, mille sisuline lahendus on saanud vähem kui 40 punkti, </w:t>
      </w:r>
      <w:r w:rsidR="00A21C61">
        <w:rPr>
          <w:rFonts w:eastAsia="Calibri"/>
          <w:bCs/>
        </w:rPr>
        <w:t xml:space="preserve">pakkumusena </w:t>
      </w:r>
      <w:bookmarkStart w:id="0" w:name="_GoBack"/>
      <w:bookmarkEnd w:id="0"/>
      <w:r w:rsidRPr="00AB4EC5">
        <w:rPr>
          <w:rFonts w:eastAsia="Calibri"/>
          <w:bCs/>
        </w:rPr>
        <w:t xml:space="preserve">kehtetuks tunnistada. </w:t>
      </w:r>
    </w:p>
    <w:p w14:paraId="3C864EBD" w14:textId="77777777" w:rsidR="0013276D" w:rsidRPr="00AB4EC5" w:rsidRDefault="0013276D" w:rsidP="0013276D">
      <w:pPr>
        <w:numPr>
          <w:ilvl w:val="0"/>
          <w:numId w:val="2"/>
        </w:numPr>
        <w:spacing w:after="160" w:line="259" w:lineRule="auto"/>
        <w:contextualSpacing/>
        <w:jc w:val="both"/>
        <w:rPr>
          <w:rFonts w:eastAsia="Calibri"/>
          <w:bCs/>
        </w:rPr>
      </w:pPr>
      <w:r w:rsidRPr="00AB4EC5">
        <w:rPr>
          <w:rFonts w:eastAsia="Calibri"/>
          <w:bCs/>
        </w:rPr>
        <w:t>Tehnilise lahenduse kriteeriumites hinnatakse järgmisi elemente ja hindamispunkte antakse järgmiselt:</w:t>
      </w:r>
    </w:p>
    <w:p w14:paraId="3C864EBE" w14:textId="77777777" w:rsidR="0013276D" w:rsidRPr="00AB4EC5" w:rsidRDefault="0013276D" w:rsidP="0013276D">
      <w:pPr>
        <w:ind w:left="720"/>
        <w:contextualSpacing/>
        <w:jc w:val="both"/>
        <w:rPr>
          <w:rFonts w:eastAsia="Calibri"/>
          <w:bCs/>
        </w:rPr>
      </w:pPr>
    </w:p>
    <w:p w14:paraId="3C864EBF" w14:textId="77777777" w:rsidR="0013276D" w:rsidRPr="00AB4EC5" w:rsidRDefault="0013276D" w:rsidP="0013276D">
      <w:pPr>
        <w:ind w:left="720"/>
        <w:contextualSpacing/>
        <w:jc w:val="both"/>
        <w:rPr>
          <w:rFonts w:eastAsia="Calibri"/>
          <w:b/>
          <w:bCs/>
        </w:rPr>
      </w:pPr>
      <w:r w:rsidRPr="00AB4EC5">
        <w:rPr>
          <w:rFonts w:eastAsia="Calibri"/>
          <w:b/>
          <w:bCs/>
        </w:rPr>
        <w:t>Pakkuja arusaam uuringu eesmärgist ja uurimisülesannetest (maksimaalselt 20 punkti):</w:t>
      </w:r>
    </w:p>
    <w:p w14:paraId="3C864EC0" w14:textId="77777777" w:rsidR="0013276D" w:rsidRPr="00AB4EC5" w:rsidRDefault="0013276D" w:rsidP="0013276D">
      <w:pPr>
        <w:ind w:left="720"/>
        <w:contextualSpacing/>
        <w:jc w:val="both"/>
        <w:rPr>
          <w:rFonts w:eastAsia="Calibri"/>
          <w:bCs/>
        </w:rPr>
      </w:pPr>
    </w:p>
    <w:p w14:paraId="3C864EC1" w14:textId="77777777" w:rsidR="0013276D" w:rsidRPr="00AB4EC5" w:rsidRDefault="0013276D" w:rsidP="0013276D">
      <w:pPr>
        <w:numPr>
          <w:ilvl w:val="0"/>
          <w:numId w:val="1"/>
        </w:numPr>
        <w:spacing w:after="160" w:line="259" w:lineRule="auto"/>
        <w:contextualSpacing/>
        <w:jc w:val="both"/>
        <w:rPr>
          <w:rFonts w:eastAsia="Calibri"/>
          <w:bCs/>
        </w:rPr>
      </w:pPr>
      <w:r>
        <w:rPr>
          <w:rFonts w:eastAsia="Calibri"/>
          <w:bCs/>
        </w:rPr>
        <w:t>U</w:t>
      </w:r>
      <w:r w:rsidRPr="00AB4EC5">
        <w:rPr>
          <w:rFonts w:eastAsia="Calibri"/>
          <w:bCs/>
        </w:rPr>
        <w:t>uringu läbiviimise eesmärk ja uurimisülesanded on pakkuja poolt selgelt lahti mõtestatud, esitatud lähenemine vastab igati hankija vajadustele ja tõstatatud küsimustele. Koos sisuliste põhjendustega on välja pakutud olulisi täiendusi uurimisülesande püstituses, mis on hankija hinnangul põhjendatud lisaväärtusega ja võimaldavad soovitud eesmärke paremini saavutada (20 punkti)</w:t>
      </w:r>
    </w:p>
    <w:p w14:paraId="3C864EC2" w14:textId="77777777" w:rsidR="0013276D" w:rsidRPr="00AB4EC5" w:rsidRDefault="0013276D" w:rsidP="0013276D">
      <w:pPr>
        <w:numPr>
          <w:ilvl w:val="0"/>
          <w:numId w:val="1"/>
        </w:numPr>
        <w:spacing w:after="160" w:line="259" w:lineRule="auto"/>
        <w:contextualSpacing/>
        <w:jc w:val="both"/>
        <w:rPr>
          <w:rFonts w:eastAsia="Calibri"/>
          <w:bCs/>
        </w:rPr>
      </w:pPr>
      <w:r>
        <w:rPr>
          <w:rFonts w:eastAsia="Calibri"/>
          <w:bCs/>
        </w:rPr>
        <w:t>U</w:t>
      </w:r>
      <w:r w:rsidRPr="00AB4EC5">
        <w:rPr>
          <w:rFonts w:eastAsia="Calibri"/>
          <w:bCs/>
        </w:rPr>
        <w:t>uringu läbiviimise eesmärk ja uurimisülesanded on pakkuja poolt selgelt lahti mõtestatud, esitatud lähenemine vastab igati hankija vajadustele ja tõstatatud küsimustele. Täiendusi uurimisülesande püstituses pole esitatud või ei ole täiendused hankija hinnangul põhjendatud (15 punkti)</w:t>
      </w:r>
    </w:p>
    <w:p w14:paraId="3C864EC3" w14:textId="77777777" w:rsidR="0013276D" w:rsidRPr="00AB4EC5" w:rsidRDefault="0013276D" w:rsidP="0013276D">
      <w:pPr>
        <w:numPr>
          <w:ilvl w:val="0"/>
          <w:numId w:val="1"/>
        </w:numPr>
        <w:spacing w:after="160" w:line="259" w:lineRule="auto"/>
        <w:contextualSpacing/>
        <w:jc w:val="both"/>
        <w:rPr>
          <w:rFonts w:eastAsia="Calibri"/>
          <w:bCs/>
        </w:rPr>
      </w:pPr>
      <w:r>
        <w:rPr>
          <w:rFonts w:eastAsia="Calibri"/>
          <w:bCs/>
        </w:rPr>
        <w:lastRenderedPageBreak/>
        <w:t>U</w:t>
      </w:r>
      <w:r w:rsidRPr="00AB4EC5">
        <w:rPr>
          <w:rFonts w:eastAsia="Calibri"/>
          <w:bCs/>
        </w:rPr>
        <w:t>uringu läbiviimise eesmärk ja uurimisülesanded on pakkuja poolt selgelt lahti mõtestatud, esitatud lähenemine vastab valdavalt hankija vajadustele. Kohati esineb üksikuid puudujääke või ebatäpsusi, mis pole põhimõttelised ega sea hankija hinnangul ohtu hanke eesmärkide saavutamist (10 punkti)</w:t>
      </w:r>
    </w:p>
    <w:p w14:paraId="3C864EC4" w14:textId="77777777" w:rsidR="0013276D" w:rsidRPr="00AB4EC5" w:rsidRDefault="0013276D" w:rsidP="0013276D">
      <w:pPr>
        <w:numPr>
          <w:ilvl w:val="0"/>
          <w:numId w:val="1"/>
        </w:numPr>
        <w:spacing w:after="160" w:line="259" w:lineRule="auto"/>
        <w:contextualSpacing/>
        <w:jc w:val="both"/>
        <w:rPr>
          <w:rFonts w:eastAsia="Calibri"/>
          <w:bCs/>
        </w:rPr>
      </w:pPr>
      <w:r>
        <w:rPr>
          <w:rFonts w:eastAsia="Calibri"/>
          <w:bCs/>
        </w:rPr>
        <w:t>U</w:t>
      </w:r>
      <w:r w:rsidRPr="00AB4EC5">
        <w:rPr>
          <w:rFonts w:eastAsia="Calibri"/>
          <w:bCs/>
        </w:rPr>
        <w:t xml:space="preserve">uringu läbiviimise eesmärgi kirjeldus ja uurimisülesannetele lähenemine vastab üldjoontes hankija vajadustele, kuid on kohati ebaselge, vastuoluline või puudulik. Hankija hinnangul esineb tõenäoline oht lepingust tulenevate kohustuste mittenõuetekohaseks täitmiseks (0 punkti) </w:t>
      </w:r>
    </w:p>
    <w:p w14:paraId="3C864EC5" w14:textId="77777777" w:rsidR="0013276D" w:rsidRPr="00AB4EC5" w:rsidRDefault="0013276D" w:rsidP="0013276D">
      <w:pPr>
        <w:ind w:left="720"/>
        <w:contextualSpacing/>
        <w:jc w:val="both"/>
        <w:rPr>
          <w:rFonts w:eastAsia="Calibri"/>
          <w:bCs/>
        </w:rPr>
      </w:pPr>
    </w:p>
    <w:p w14:paraId="3C864EC6" w14:textId="77777777" w:rsidR="0013276D" w:rsidRPr="00AB4EC5" w:rsidRDefault="0013276D" w:rsidP="0013276D">
      <w:pPr>
        <w:ind w:left="720"/>
        <w:contextualSpacing/>
        <w:jc w:val="both"/>
        <w:rPr>
          <w:rFonts w:eastAsia="Calibri"/>
          <w:b/>
          <w:bCs/>
        </w:rPr>
      </w:pPr>
      <w:r w:rsidRPr="00AB4EC5">
        <w:rPr>
          <w:rFonts w:eastAsia="Calibri"/>
          <w:b/>
          <w:bCs/>
        </w:rPr>
        <w:t>Uuringu metoodika ja tegevusplaani kirjeldus</w:t>
      </w:r>
      <w:r w:rsidRPr="00AB4EC5">
        <w:rPr>
          <w:rFonts w:eastAsia="Calibri"/>
          <w:bCs/>
        </w:rPr>
        <w:t xml:space="preserve"> </w:t>
      </w:r>
      <w:r w:rsidRPr="00AB4EC5">
        <w:rPr>
          <w:rFonts w:eastAsia="Calibri"/>
          <w:b/>
          <w:bCs/>
        </w:rPr>
        <w:t>(maksimaalselt 30 punkti):</w:t>
      </w:r>
    </w:p>
    <w:p w14:paraId="3C864EC7" w14:textId="77777777" w:rsidR="0013276D" w:rsidRPr="00AB4EC5" w:rsidRDefault="0013276D" w:rsidP="0013276D">
      <w:pPr>
        <w:ind w:left="720"/>
        <w:contextualSpacing/>
        <w:jc w:val="both"/>
        <w:rPr>
          <w:rFonts w:eastAsia="Calibri"/>
          <w:b/>
          <w:bCs/>
        </w:rPr>
      </w:pPr>
    </w:p>
    <w:p w14:paraId="3C864EC8"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Kasutatav metoodika lähtub üldtunnustatud metodoloogilistest põhimõtetest ning uuringu eesmärgist ja ülesannetest. Meetodid, uuringuprotsess ja tegevusplaan on kirjeldatud detailselt ja arusaadavalt. Pakutud metoodiliste lahenduste kasutamise otstarbekust on põhjendatud ja lahendused on omavahel uuringu eesmärgist lähtuvalt seostatud. Peamistele uurimisküsimustele vastuste leidmine on metoodiliselt kirjeldatud. Pakkuja on metoodika raamistikus välja pakkunud lisalahendusi või alternatiivseid lahenduskäike (nt eri meetodite kombineerimine), mis on hankija meelest põhjendatud, võimaldades uuringu eesmärke paremini saavutada (30 punkti)</w:t>
      </w:r>
    </w:p>
    <w:p w14:paraId="3C864EC9"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Kasutatav metoodika lähtub üldtunnustatud metodoloogilistest põhimõtetest  ning uuringu eesmärgist ja ülesannetest. Meetodid, uuringuprotsess ja tegevusplaan on kirjeldatud arusaadavalt. Pakutud metoodiliste lahenduste kasutamise otstarbekust on põhjendatud ja lahendused on omavahel uuringu eesmärgist lähtuvalt seostatud. Peamistele uurimisküsimustele vastuste leidmine on metoodiliselt kirjeldatud. Omapoolseid asjakohaseid lisalahendusi või alternatiivseid lahenduskäike pole välja toodud või pole pakutud lisalahendused või lahenduskäigud hankija hinnangul põhjendatud (20 punkti)</w:t>
      </w:r>
    </w:p>
    <w:p w14:paraId="3C864ECA"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Kasutatav metoodika lähtub üldtunnustatud metodoloogilistest põhimõtetest  ning uuringu eesmärgist ja ülesannetest. Meetodid, uuringuprotsess ja tegevusplaan on kirjeldatud üldiselt arusaadavalt. Pakutud metoodiliste lahenduste kasutamise otstarbekust on põhjendatud ja lahendused on omavahel uuringu eesmärgist lähtuvalt seostatud, kuid esineb üksikuid puudujääke või ebatäpsusi. Peamistele uurimisküsimustele vastuste leidmine on metoodiliselt kirjeldatud, kuid kirjeldus on üksikutes osades ebapiisav või esineb muid üksikuid puudujääke või ebatäpsusi. Need üksikud puudujäägid või ebatäpsused pole aga põhimõttelised ega sea hankija hinnangul ohtu uuringu peamiste eesmärkide saavutamist (10 punkti)</w:t>
      </w:r>
    </w:p>
    <w:p w14:paraId="3C864ECB"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Metoodika ja/või tegevusplaani kirjeldus on kohati ebaselge, vastuoluline või puudulik. Hankija hinnangul esineb potentsiaalne oht hankelepingust tulenevate kohustuste mittetäitmiseks (0 punkti)</w:t>
      </w:r>
    </w:p>
    <w:p w14:paraId="3C864ECC" w14:textId="77777777" w:rsidR="0013276D" w:rsidRPr="00AB4EC5" w:rsidRDefault="0013276D" w:rsidP="0013276D">
      <w:pPr>
        <w:ind w:left="720"/>
        <w:contextualSpacing/>
        <w:jc w:val="both"/>
        <w:rPr>
          <w:rFonts w:eastAsia="Calibri"/>
          <w:bCs/>
        </w:rPr>
      </w:pPr>
    </w:p>
    <w:p w14:paraId="3C864ECD" w14:textId="77777777" w:rsidR="0013276D" w:rsidRPr="00AB4EC5" w:rsidRDefault="0013276D" w:rsidP="0013276D">
      <w:pPr>
        <w:ind w:left="720"/>
        <w:contextualSpacing/>
        <w:jc w:val="both"/>
        <w:rPr>
          <w:rFonts w:eastAsia="Calibri"/>
          <w:b/>
          <w:bCs/>
        </w:rPr>
      </w:pPr>
      <w:r w:rsidRPr="00AB4EC5">
        <w:rPr>
          <w:rFonts w:eastAsia="Calibri"/>
          <w:b/>
          <w:bCs/>
        </w:rPr>
        <w:t>Uuringu ajakava ja poolte koostöö kirjeldus (maksimaalselt 15 punkti):</w:t>
      </w:r>
    </w:p>
    <w:p w14:paraId="3C864ECE" w14:textId="77777777" w:rsidR="0013276D" w:rsidRPr="00AB4EC5" w:rsidRDefault="0013276D" w:rsidP="0013276D">
      <w:pPr>
        <w:ind w:left="720"/>
        <w:contextualSpacing/>
        <w:jc w:val="both"/>
        <w:rPr>
          <w:rFonts w:eastAsia="Calibri"/>
          <w:bCs/>
        </w:rPr>
      </w:pPr>
    </w:p>
    <w:p w14:paraId="3C864ECF"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Pakkuja on ajakavas toonud välja tegevused kuu täpsusega. Iga tegevuse juures on märgitud vastutajad. Koostöö ja tegevused hankijaga on kirjeldatud selgelt koos orienteeruva ajakavaga, mis vastab hankija soovidele (15 punkti)</w:t>
      </w:r>
    </w:p>
    <w:p w14:paraId="3C864ED0"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lastRenderedPageBreak/>
        <w:t>Pakkuja on ajakavas toonud välja tegevused kuu täpsusega. Iga tegevuse juures on märgitud vastutajad. Koostöö ja tegevused hankijaga on kirjeldatud selgelt, kuid esitatud orienteeruv ajakava ei vasta täielikult hankija soovidele (10 punkti)</w:t>
      </w:r>
    </w:p>
    <w:p w14:paraId="3C864ED1"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Pakkuja on ajakavas toonud välja tegevused kuu täpsusega. Iga tegevuse juures on märgitud vastutajad. Koostöö ja tegevused hankijaga on kirjeldatud mõne puudusega ja/või ei vasta orienteeruv ajakava olulises mahus hankija soovidele (5 punkti)</w:t>
      </w:r>
    </w:p>
    <w:p w14:paraId="3C864ED2"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Pakkuja ajakava või poolte koostöö kirjeldusel on olulisi puudusi (nt ei ole tegevused välja toodud kuu täpsusega või ei ole märgitud iga tegevuse juures vastutajaid; hankija ja pakkuja koostöö ning tegevuste kirjeldus on puuduste või küsitavustega) (0 punkti)</w:t>
      </w:r>
    </w:p>
    <w:p w14:paraId="3C864ED3" w14:textId="77777777" w:rsidR="0013276D" w:rsidRPr="00AB4EC5" w:rsidRDefault="0013276D" w:rsidP="0013276D">
      <w:pPr>
        <w:ind w:left="720"/>
        <w:contextualSpacing/>
        <w:jc w:val="both"/>
        <w:rPr>
          <w:rFonts w:eastAsia="Calibri"/>
          <w:bCs/>
        </w:rPr>
      </w:pPr>
    </w:p>
    <w:p w14:paraId="3C864ED4" w14:textId="77777777" w:rsidR="0013276D" w:rsidRPr="00AB4EC5" w:rsidRDefault="0013276D" w:rsidP="0013276D">
      <w:pPr>
        <w:ind w:left="720"/>
        <w:contextualSpacing/>
        <w:jc w:val="both"/>
        <w:rPr>
          <w:rFonts w:eastAsia="Calibri"/>
          <w:b/>
          <w:bCs/>
        </w:rPr>
      </w:pPr>
      <w:r w:rsidRPr="00AB4EC5">
        <w:rPr>
          <w:rFonts w:eastAsia="Calibri"/>
          <w:b/>
          <w:bCs/>
        </w:rPr>
        <w:t>Uuringumeeskonna kirjeldus ja rollijaotus (maksimaalselt 15 punkti):</w:t>
      </w:r>
    </w:p>
    <w:p w14:paraId="3C864ED5" w14:textId="77777777" w:rsidR="0013276D" w:rsidRPr="00AB4EC5" w:rsidRDefault="0013276D" w:rsidP="0013276D">
      <w:pPr>
        <w:ind w:left="720"/>
        <w:contextualSpacing/>
        <w:jc w:val="both"/>
        <w:rPr>
          <w:rFonts w:eastAsia="Calibri"/>
          <w:b/>
          <w:bCs/>
        </w:rPr>
      </w:pPr>
    </w:p>
    <w:p w14:paraId="3C864ED6"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 xml:space="preserve">Pakkuja on uuringumeeskonna komplekteerimisel lähtunud hanke eesmärkidest. Meeskonna kirjelduses on detailselt koos selgitustega välja toodud, milliseid ülesandeid iga meeskonnaliige täidab. Uuringumeeskonda kaasatud </w:t>
      </w:r>
      <w:r>
        <w:rPr>
          <w:rFonts w:eastAsia="Calibri"/>
          <w:bCs/>
        </w:rPr>
        <w:t xml:space="preserve">isikute </w:t>
      </w:r>
      <w:r w:rsidRPr="00AB4EC5">
        <w:rPr>
          <w:rFonts w:eastAsia="Calibri"/>
          <w:bCs/>
        </w:rPr>
        <w:t>kaasamine on</w:t>
      </w:r>
      <w:r>
        <w:rPr>
          <w:rFonts w:eastAsia="Calibri"/>
          <w:bCs/>
        </w:rPr>
        <w:t xml:space="preserve"> nende profiili kirjelduse alusel</w:t>
      </w:r>
      <w:r w:rsidRPr="00AB4EC5">
        <w:rPr>
          <w:rFonts w:eastAsia="Calibri"/>
          <w:bCs/>
        </w:rPr>
        <w:t xml:space="preserve"> hankija hinnangul </w:t>
      </w:r>
      <w:r>
        <w:rPr>
          <w:rFonts w:eastAsia="Calibri"/>
          <w:bCs/>
        </w:rPr>
        <w:t xml:space="preserve">väga hästi </w:t>
      </w:r>
      <w:r w:rsidRPr="00AB4EC5">
        <w:rPr>
          <w:rFonts w:eastAsia="Calibri"/>
          <w:bCs/>
        </w:rPr>
        <w:t>põhjendatud, võimaldades hanke eesmärke paremini saavutada (15 punkti)</w:t>
      </w:r>
    </w:p>
    <w:p w14:paraId="3C864ED7"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 xml:space="preserve">Pakkuja on uuringumeeskonna komplekteerimisel lähtunud hanke eesmärkidest. Meeskonna kirjelduses on detailselt koos selgitustega välja toodud, milliseid ülesandeid iga meeskonnaliige täidab. </w:t>
      </w:r>
      <w:r w:rsidRPr="00C725D2">
        <w:rPr>
          <w:rFonts w:eastAsia="Calibri"/>
          <w:bCs/>
        </w:rPr>
        <w:t xml:space="preserve">Uuringumeeskonda kaasatud isikute kaasamine on nende profiili </w:t>
      </w:r>
      <w:r>
        <w:rPr>
          <w:rFonts w:eastAsia="Calibri"/>
          <w:bCs/>
        </w:rPr>
        <w:t xml:space="preserve">kirjelduse </w:t>
      </w:r>
      <w:r w:rsidRPr="00C725D2">
        <w:rPr>
          <w:rFonts w:eastAsia="Calibri"/>
          <w:bCs/>
        </w:rPr>
        <w:t xml:space="preserve">alusel hankija hinnangul </w:t>
      </w:r>
      <w:r>
        <w:rPr>
          <w:rFonts w:eastAsia="Calibri"/>
          <w:bCs/>
        </w:rPr>
        <w:t xml:space="preserve">suhteliselt </w:t>
      </w:r>
      <w:r w:rsidRPr="00C725D2">
        <w:rPr>
          <w:rFonts w:eastAsia="Calibri"/>
          <w:bCs/>
        </w:rPr>
        <w:t>hästi põhjendatud, võimaldades hanke eesmärke paremini saavutada</w:t>
      </w:r>
      <w:r w:rsidRPr="00AB4EC5">
        <w:rPr>
          <w:rFonts w:eastAsia="Calibri"/>
          <w:bCs/>
        </w:rPr>
        <w:t xml:space="preserve"> (10 punkti)</w:t>
      </w:r>
    </w:p>
    <w:p w14:paraId="3C864ED8"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Pakkuja on uuringumeeskonna komplekteerimisel lähtunud üldiselt hanke eesmärkidest. Meeskonna või neile pandud ülesannete kirjelduses esineb üksikuid puudujääke või vastuolusid, kuid need ei sea hankija hinnangul hanke eesmärkide täitmist ohtu</w:t>
      </w:r>
      <w:r>
        <w:rPr>
          <w:rFonts w:eastAsia="Calibri"/>
          <w:bCs/>
        </w:rPr>
        <w:t>, uuringumeeskonda kaasatud isikute kaasamine on nende profiili kirjelduse alusel hankija hinnangul suhteliselt hästi põhjendatud</w:t>
      </w:r>
      <w:r w:rsidRPr="00AB4EC5">
        <w:rPr>
          <w:rFonts w:eastAsia="Calibri"/>
          <w:bCs/>
        </w:rPr>
        <w:t xml:space="preserve"> (5 punkti)</w:t>
      </w:r>
    </w:p>
    <w:p w14:paraId="3C864ED9" w14:textId="77777777" w:rsidR="0013276D" w:rsidRPr="00AB4EC5" w:rsidRDefault="0013276D" w:rsidP="0013276D">
      <w:pPr>
        <w:numPr>
          <w:ilvl w:val="0"/>
          <w:numId w:val="1"/>
        </w:numPr>
        <w:spacing w:after="160" w:line="259" w:lineRule="auto"/>
        <w:contextualSpacing/>
        <w:jc w:val="both"/>
        <w:rPr>
          <w:rFonts w:eastAsia="Calibri"/>
          <w:bCs/>
        </w:rPr>
      </w:pPr>
      <w:r w:rsidRPr="00AB4EC5">
        <w:rPr>
          <w:rFonts w:eastAsia="Calibri"/>
          <w:bCs/>
        </w:rPr>
        <w:t>Uuringumeeskonna või selle ülesannete kirjeldus on oluliste puudustega või liiga üldsõnaline, mitteammendav</w:t>
      </w:r>
      <w:r>
        <w:rPr>
          <w:rFonts w:eastAsia="Calibri"/>
          <w:bCs/>
        </w:rPr>
        <w:t xml:space="preserve"> või ei ole uuringumeeskonda kaasatud isikute kaasamine nende profiili kirjelduse alusel hankija hinnangul piisavalt põhjendatud.</w:t>
      </w:r>
      <w:r w:rsidRPr="00AB4EC5">
        <w:rPr>
          <w:rFonts w:eastAsia="Calibri"/>
          <w:bCs/>
        </w:rPr>
        <w:t xml:space="preserve"> Hankijal ei kujune veendumust, et hanke eesmärkide täitmine ei oleks ohus (0 punkti)</w:t>
      </w:r>
    </w:p>
    <w:p w14:paraId="3C864EDA" w14:textId="77777777" w:rsidR="00AD0E41" w:rsidRPr="00A628E3" w:rsidRDefault="00AD0E41" w:rsidP="00D4718D"/>
    <w:sectPr w:rsidR="00AD0E41" w:rsidRPr="00A62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C544C"/>
    <w:multiLevelType w:val="hybridMultilevel"/>
    <w:tmpl w:val="5E460198"/>
    <w:lvl w:ilvl="0" w:tplc="042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E861E0"/>
    <w:multiLevelType w:val="multilevel"/>
    <w:tmpl w:val="BA8C23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6D"/>
    <w:rsid w:val="0013276D"/>
    <w:rsid w:val="00A21C61"/>
    <w:rsid w:val="00A628E3"/>
    <w:rsid w:val="00AD0E41"/>
    <w:rsid w:val="00B84E10"/>
    <w:rsid w:val="00D471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4EA3"/>
  <w15:chartTrackingRefBased/>
  <w15:docId w15:val="{B6DDD3BB-D354-4583-8BC4-44615580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76D"/>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76D"/>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76D"/>
    <w:pPr>
      <w:autoSpaceDE w:val="0"/>
      <w:autoSpaceDN w:val="0"/>
      <w:adjustRightInd w:val="0"/>
    </w:pPr>
    <w:rPr>
      <w:rFonts w:ascii="Times New Roman" w:eastAsia="Calibri"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1146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Mesi</dc:creator>
  <cp:keywords/>
  <dc:description/>
  <cp:lastModifiedBy>Kristel Rajatamm</cp:lastModifiedBy>
  <cp:revision>2</cp:revision>
  <dcterms:created xsi:type="dcterms:W3CDTF">2024-06-07T07:08:00Z</dcterms:created>
  <dcterms:modified xsi:type="dcterms:W3CDTF">2024-06-11T10:17:00Z</dcterms:modified>
</cp:coreProperties>
</file>